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59.png" ContentType="image/png"/>
  <Override PartName="/word/media/rId37.png" ContentType="image/png"/>
  <Override PartName="/word/media/rId41.png" ContentType="image/png"/>
  <Override PartName="/word/media/rId46.png" ContentType="image/png"/>
  <Override PartName="/word/media/rId54.png" ContentType="image/png"/>
  <Override PartName="/word/media/rId5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w:t>
      </w:r>
    </w:p>
    <w:p>
      <w:pPr>
        <w:pStyle w:val="BodyText"/>
      </w:pPr>
    </w:p>
    <w:bookmarkEnd w:id="25"/>
    <w:bookmarkStart w:id="26" w:name="Xfd83dce68813b50cb62b415df074cbb3aa4a5a6"/>
    <w:p>
      <w:pPr>
        <w:pStyle w:val="Heading2"/>
      </w:pPr>
      <w:r>
        <w:t xml:space="preserve">Whole-cell absorbance spectra, PUR/PAR ratio, and pigment content</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450, 470, 530, 620, 660, and 730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from 375 nm to 710 nm to a reference wavelength of Chl</w:t>
      </w:r>
      <w:r>
        <w:t xml:space="preserve"> </w:t>
      </w:r>
      <w:r>
        <w:rPr>
          <w:iCs/>
          <w:i/>
        </w:rPr>
        <w:t xml:space="preserve">a</w:t>
      </w:r>
      <w:r>
        <w:t xml:space="preserve"> </w:t>
      </w:r>
      <w:r>
        <w:t xml:space="preserve">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Absorbance Normalized to 440 nm, NormEm is the Emission spectra Normalized to maximum peak of each colur light, and PAR in this case is 180 µmol photons m</w:t>
      </w:r>
      <w:r>
        <w:rPr>
          <w:vertAlign w:val="superscript"/>
        </w:rPr>
        <w:t xml:space="preserve">−2</w:t>
      </w:r>
      <w:r>
        <w:t xml:space="preserve">s</w:t>
      </w:r>
      <w:r>
        <w:rPr>
          <w:vertAlign w:val="superscript"/>
        </w:rPr>
        <w:t xml:space="preserve">−1</w:t>
      </w:r>
      <w:r>
        <w:t xml:space="preserve">. Chlorophyll-specific exponential growth rates (d</w:t>
      </w:r>
      <w:r>
        <w:rPr>
          <w:vertAlign w:val="superscript"/>
        </w:rPr>
        <w:t xml:space="preserve">−1</w:t>
      </w:r>
      <w:r>
        <w:t xml:space="preserve">) vs. PUR was shown in Fig. S2.</w:t>
      </w:r>
    </w:p>
    <w:p>
      <w:pPr>
        <w:pStyle w:val="BodyText"/>
      </w:pPr>
      <w:r>
        <w:t xml:space="preserve">Using an integrating cavity upgrade CLARiTY 17 UV/Vis/NIR spectrophotometer, we also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S1). We also summed PE, PC, and APC protein to receive Phycobilins (Phyco) content. Additionally, we calculated the Car to Chl</w:t>
      </w:r>
      <w:r>
        <w:t xml:space="preserve"> </w:t>
      </w:r>
      <w:r>
        <w:rPr>
          <w:iCs/>
          <w:i/>
        </w:rPr>
        <w:t xml:space="preserve">a</w:t>
      </w:r>
      <w:r>
        <w:t xml:space="preserve"> </w:t>
      </w:r>
      <w:r>
        <w:t xml:space="preserve">ratio and the ratio of the sum of Phyco to Chl</w:t>
      </w:r>
      <w:r>
        <w:t xml:space="preserve"> </w:t>
      </w:r>
      <w:r>
        <w:rPr>
          <w:iCs/>
          <w:i/>
        </w:rPr>
        <w:t xml:space="preserve">a</w:t>
      </w:r>
      <w:r>
        <w:t xml:space="preserve"> </w:t>
      </w:r>
      <w:r>
        <w:t xml:space="preserve">(µg:µg) for each strain.</w:t>
      </w:r>
    </w:p>
    <w:p>
      <w:pPr>
        <w:pStyle w:val="BodyText"/>
      </w:pPr>
      <w:r>
        <w:t xml:space="preserve">Additionally, we measured Chl</w:t>
      </w:r>
      <w:r>
        <w:t xml:space="preserve"> </w:t>
      </w:r>
      <w:r>
        <w:rPr>
          <w:iCs/>
          <w:i/>
        </w:rPr>
        <w:t xml:space="preserve">a</w:t>
      </w:r>
      <w:r>
        <w:t xml:space="preserve"> </w:t>
      </w:r>
      <w:r>
        <w:t xml:space="preserve">(µg mL</w:t>
      </w:r>
      <w:r>
        <w:rPr>
          <w:vertAlign w:val="superscript"/>
        </w:rPr>
        <w:t xml:space="preserve">−1</w:t>
      </w:r>
      <w:r>
        <w:t xml:space="preserve">)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4 mL of picocyanobacteria cultures for photophysiological characterizations repeatedly across the growth trajectories. It is worth emphasizing here that we We used Fast Repetition Rate fluorometry (FRRf) even in conditions when there was no recorded growth rate of tested strains.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530, preferentially exciting phycoerythrin, or 590 nm, preferentially exciting phycocyanin.</w:t>
      </w:r>
    </w:p>
    <w:p>
      <w:pPr>
        <w:pStyle w:val="BodyText"/>
      </w:pPr>
      <w:r>
        <w:t xml:space="preserve">Flash Power for 445 excitation was 60000 µmol photons m</w:t>
      </w:r>
      <w:r>
        <w:rPr>
          <w:vertAlign w:val="superscript"/>
        </w:rPr>
        <w:t xml:space="preserve">−2</w:t>
      </w:r>
      <w:r>
        <w:t xml:space="preserve">s</w:t>
      </w:r>
      <w:r>
        <w:rPr>
          <w:vertAlign w:val="superscript"/>
        </w:rPr>
        <w:t xml:space="preserve">−1</w:t>
      </w:r>
      <w:r>
        <w:t xml:space="preserve"> </w:t>
      </w:r>
      <w:r>
        <w:t xml:space="preserve">PAR, for 530 nm excitation power was 25000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530,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445 nm (blue), 530 nm (green), and 590 nm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 S2).</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 Tab. S3).</w:t>
      </w:r>
    </w:p>
    <w:p>
      <w:pPr>
        <w:pStyle w:val="BodyText"/>
      </w:pPr>
      <w:r>
        <w:t xml:space="preserve">Furthermore, to examine statistical differences between fits plotted for chlorophyll-specific exponential growth rate (Tab. S4), pigments content (Tab. S5), pigment ratio (Tab. S6), σ</w:t>
      </w:r>
      <w:r>
        <w:rPr>
          <w:vertAlign w:val="subscript"/>
        </w:rPr>
        <w:t xml:space="preserve">PSII</w:t>
      </w:r>
      <w:r>
        <w:t xml:space="preserve">′ (Tab. S7), and</w:t>
      </w:r>
      <w:r>
        <w:t xml:space="preserve"> </w:t>
      </w:r>
      <w:r>
        <w:rPr>
          <w:iCs/>
          <w:i/>
        </w:rPr>
        <w:t xml:space="preserve">JV</w:t>
      </w:r>
      <w:r>
        <w:rPr>
          <w:vertAlign w:val="subscript"/>
        </w:rPr>
        <w:t xml:space="preserve">PSII</w:t>
      </w:r>
      <w:r>
        <w:t xml:space="preserve"> </w:t>
      </w:r>
      <w:r>
        <w:t xml:space="preserve">(Tab. S8) measured under different oxygen concentrations for each strain, we performed one-way ANOVA (</w:t>
      </w:r>
      <w:r>
        <w:rPr>
          <w:iCs/>
          <w:i/>
        </w:rPr>
        <w:t xml:space="preserve">aov()</w:t>
      </w:r>
      <w:r>
        <w:t xml:space="preserve"> </w:t>
      </w:r>
      <w:r>
        <w:t xml:space="preserve">function; R Base package). Statistical differences for all analyses were determined at significance level of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64"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and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 [xxxx if we do this - I have some idea though xxx-&gt; Significant differences between model fits of chlorophyll-specific exponential growth rates (d</w:t>
      </w:r>
      <w:r>
        <w:rPr>
          <w:vertAlign w:val="superscript"/>
        </w:rPr>
        <w:t xml:space="preserve">−1</w:t>
      </w:r>
      <w:r>
        <w:t xml:space="preserve">) across growth waveband (nm) estimated for 250 µM and 2.5 µM O</w:t>
      </w:r>
      <w:r>
        <w:rPr>
          <w:vertAlign w:val="subscript"/>
        </w:rPr>
        <w:t xml:space="preserve">2</w:t>
      </w:r>
      <w:r>
        <w:t xml:space="preserve"> </w:t>
      </w:r>
      <w:r>
        <w:t xml:space="preserve">concentration for each</w:t>
      </w:r>
      <w:r>
        <w:t xml:space="preserve"> </w:t>
      </w:r>
      <w:r>
        <w:rPr>
          <w:iCs/>
          <w:i/>
        </w:rPr>
        <w:t xml:space="preserve">Synechococcus</w:t>
      </w:r>
      <w:r>
        <w:t xml:space="preserve"> </w:t>
      </w:r>
      <w:r>
        <w:t xml:space="preserve">sp. cultures was also recorded (ANOVA,</w:t>
      </w:r>
      <w:r>
        <w:t xml:space="preserve"> </w:t>
      </w:r>
      <w:r>
        <w:rPr>
          <w:iCs/>
          <w:i/>
        </w:rPr>
        <w:t xml:space="preserve">p</w:t>
      </w:r>
      <w:r>
        <w:t xml:space="preserve"> </w:t>
      </w:r>
      <w:r>
        <w:t xml:space="preserve">&lt; 0.05; Table S2).</w:t>
      </w:r>
    </w:p>
    <w:p>
      <w:pPr>
        <w:pStyle w:val="BodyText"/>
      </w:pPr>
      <w:r>
        <w:t xml:space="preserve">In general,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w:t>
      </w:r>
    </w:p>
    <w:p>
      <w:pPr>
        <w:pStyle w:val="BodyText"/>
      </w:pPr>
      <w:r>
        <w:t xml:space="preserve">PE-rich strain showed the highest growth rate under green light at 530 nm under 250 µM of O</w:t>
      </w:r>
      <w:r>
        <w:rPr>
          <w:vertAlign w:val="subscript"/>
        </w:rPr>
        <w:t xml:space="preserve">2</w:t>
      </w:r>
      <w:r>
        <w:t xml:space="preserve"> </w:t>
      </w:r>
      <w:r>
        <w:t xml:space="preserve">(μ = 0.131 ± 0.046 d</w:t>
      </w:r>
      <w:r>
        <w:rPr>
          <w:vertAlign w:val="superscript"/>
        </w:rPr>
        <w:t xml:space="preserve">−1</w:t>
      </w:r>
      <w:r>
        <w:t xml:space="preserve">). However, under O</w:t>
      </w:r>
      <w:r>
        <w:rPr>
          <w:vertAlign w:val="subscript"/>
        </w:rPr>
        <w:t xml:space="preserve">2</w:t>
      </w:r>
      <w:r>
        <w:t xml:space="preserve"> </w:t>
      </w:r>
      <w:r>
        <w:t xml:space="preserve">concentration of 2.5 µM, high growth rates were recorded for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d−1) vs. growth waveband (nm, shaded regions). Growth rates (± SE) were estimated from logistic fits of chlorophyll proxy OD680 – OD720 (ΔOD) vs. elapsed time, for PC-rich (green circle) and PE-rich (red circle) cultures of Synechococcus sp. grown at spectral bandwidths of 405, 450, 470, 530, 620, 660, or 730 nm, and O2 concentrations of 250 µM (open symbols and dashed line) or 2.5 µM (closed symbols and solid line)." title="" id="33" name="Picture"/>
            <a:graphic>
              <a:graphicData uri="http://schemas.openxmlformats.org/drawingml/2006/picture">
                <pic:pic>
                  <pic:nvPicPr>
                    <pic:cNvPr descr="../Output/Figures/Fig_GrowthRate.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6"/>
    <w:bookmarkStart w:id="45" w:name="X4ad1a17542c3c7ea7d7837459e7ca26b27b979d"/>
    <w:p>
      <w:pPr>
        <w:pStyle w:val="Heading2"/>
      </w:pPr>
      <w:r>
        <w:t xml:space="preserve">Whole-cell absorbance spectra, and PUR/PAR ratio</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2</w:t>
      </w:r>
      <w:r>
        <w:rPr>
          <w:iCs/>
          <w:i/>
        </w:rPr>
        <w:t xml:space="preserve">a</w:t>
      </w:r>
      <w:r>
        <w:t xml:space="preserve">)…</w:t>
      </w:r>
    </w:p>
    <w:p>
      <w:pPr>
        <w:pStyle w:val="BodyText"/>
      </w:pPr>
    </w:p>
    <w:p>
      <w:pPr>
        <w:pStyle w:val="CaptionedFigure"/>
      </w:pPr>
      <w:r>
        <w:drawing>
          <wp:inline>
            <wp:extent cx="5943600" cy="6792685"/>
            <wp:effectExtent b="0" l="0" r="0" t="0"/>
            <wp:docPr descr="Fig. 2: Whole-cell absorbance spectra vs. wavelength (nm) and PUR/PAR ratio vs. growth wavelength (nm). (a) Representative absorbance spectra, normalized to 440 nm (NormA440), were measured together with emission spectra of the colour LED lamp used for PAR, normalized to their emission peak. Estimated Photosynthetically Usable Radiation (PUR) is shown as a green area for the PC-rich strain and a red area for the PE-rich strain grown at spectral bandwidth of 405, 450, 470, 530, 620, 660, and 730 nm and O2 concentration of 250 µM (dashed line) and 2.5 µM (solid line). (b) PUR/PAR ratio was estimated for PC-rich (green circle) and PE-rich (red circle) cultures of Synechococcus sp. grown at spectral bandwidth of 405, 450, 470, 530, 620, 660, and 730 nm and O2 concentration of 250 µM (open symbols and dashed line) and 2.5 µM (closed symbols and solid line)." title="" id="38" name="Picture"/>
            <a:graphic>
              <a:graphicData uri="http://schemas.openxmlformats.org/drawingml/2006/picture">
                <pic:pic>
                  <pic:nvPicPr>
                    <pic:cNvPr descr="../Output/Figures/Fig_PURPARRatioSpectra.png" id="39" name="Picture"/>
                    <pic:cNvPicPr>
                      <a:picLocks noChangeArrowheads="1" noChangeAspect="1"/>
                    </pic:cNvPicPr>
                  </pic:nvPicPr>
                  <pic:blipFill>
                    <a:blip r:embed="rId37"/>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bookmarkStart w:id="40" w:name="fig:PURPAR"/>
      <w:bookmarkEnd w:id="40"/>
      <w:r>
        <w:rPr>
          <w:bCs/>
          <w:b/>
        </w:rPr>
        <w:t xml:space="preserve">Fig.</w:t>
      </w:r>
      <w:r>
        <w:rPr>
          <w:bCs/>
          <w:b/>
        </w:rPr>
        <w:t xml:space="preserve"> </w:t>
      </w:r>
      <w:r>
        <w:t xml:space="preserve">2: Whole-cell absorbance spectra vs. wavelength (nm) and PUR/PAR ratio vs. growth wavelength (nm). (</w:t>
      </w:r>
      <w:r>
        <w:rPr>
          <w:iCs/>
          <w:i/>
        </w:rPr>
        <w:t xml:space="preserve">a</w:t>
      </w:r>
      <w:r>
        <w:t xml:space="preserve">) Representative absorbance spectra, normalized to 440 nm (NormA</w:t>
      </w:r>
      <w:r>
        <w:rPr>
          <w:vertAlign w:val="subscript"/>
        </w:rPr>
        <w:t xml:space="preserve">440</w:t>
      </w:r>
      <w:r>
        <w:t xml:space="preserve">), were measured together with emission spectra of the colour LED lamp used for PAR, normalized to their emission peak. Estimated Photosynthetically Usable Radiation (PUR) is shown as a green area for the PC-rich strain and a red area for the PE-rich strain grown at spectral bandwidth of 405, 450, 470, 530, 620, 660, and 730 nm and O</w:t>
      </w:r>
      <w:r>
        <w:rPr>
          <w:vertAlign w:val="subscript"/>
        </w:rPr>
        <w:t xml:space="preserve">2</w:t>
      </w:r>
      <w:r>
        <w:t xml:space="preserve"> </w:t>
      </w:r>
      <w:r>
        <w:t xml:space="preserve">concentration of 250 µM (dashed line) and 2.5 µM (solid line). (</w:t>
      </w:r>
      <w:r>
        <w:rPr>
          <w:iCs/>
          <w:i/>
        </w:rPr>
        <w:t xml:space="preserve">b</w:t>
      </w:r>
      <w:r>
        <w:t xml:space="preserve">) PUR/PAR ratio was estimated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943600" cy="7641771"/>
            <wp:effectExtent b="0" l="0" r="0" t="0"/>
            <wp:docPr descr="Fig. 3: Pigment content (pg cell −1) (a) and pigment ratio (µg:µg) (b) vs. growth waveband (nm) for PC-rich (green circle) and PE-rich (red circle) cultures of Synechococcus sp. grown at spectral bandwidth of 405, 450, 470, 530, 620, 660, and 730 nm and O2 concentration of 250 µM (open symbols and dashed line) and 2.5 µM (closed symbols and solid line)." title="" id="42" name="Picture"/>
            <a:graphic>
              <a:graphicData uri="http://schemas.openxmlformats.org/drawingml/2006/picture">
                <pic:pic>
                  <pic:nvPicPr>
                    <pic:cNvPr descr="../Output/Figures/Fig_Pigment.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Pigment"/>
      <w:bookmarkEnd w:id="44"/>
      <w:r>
        <w:rPr>
          <w:bCs/>
          <w:b/>
        </w:rPr>
        <w:t xml:space="preserve">Fig.</w:t>
      </w:r>
      <w:r>
        <w:rPr>
          <w:bCs/>
          <w:b/>
        </w:rPr>
        <w:t xml:space="preserve"> </w:t>
      </w:r>
      <w:r>
        <w:t xml:space="preserve">3: Pigment content (pg cell</w:t>
      </w:r>
      <w:r>
        <w:t xml:space="preserve"> </w:t>
      </w:r>
      <w:r>
        <w:rPr>
          <w:vertAlign w:val="superscript"/>
        </w:rPr>
        <w:t xml:space="preserve">−1</w:t>
      </w:r>
      <w:r>
        <w:t xml:space="preserve">) (</w:t>
      </w:r>
      <w:r>
        <w:rPr>
          <w:iCs/>
          <w:i/>
        </w:rPr>
        <w:t xml:space="preserve">a</w:t>
      </w:r>
      <w:r>
        <w:t xml:space="preserve">) and pigment ratio (µg:µg) (</w:t>
      </w:r>
      <w:r>
        <w:rPr>
          <w:iCs/>
          <w:i/>
        </w:rPr>
        <w:t xml:space="preserve">b</w:t>
      </w:r>
      <w:r>
        <w:t xml:space="preserve">) vs. growth waveband (nm)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45"/>
    <w:bookmarkStart w:id="58" w:name="Xe01d8149656f180aa32e8ccd949acd791a86e6a"/>
    <w:p>
      <w:pPr>
        <w:pStyle w:val="Heading2"/>
      </w:pPr>
      <w:r>
        <w:t xml:space="preserve">Effective absorption cross section of PSII</w:t>
      </w:r>
    </w:p>
    <w:p>
      <w:pPr>
        <w:pStyle w:val="CaptionedFigure"/>
      </w:pPr>
      <w:r>
        <w:drawing>
          <wp:inline>
            <wp:extent cx="5504749" cy="5504749"/>
            <wp:effectExtent b="0" l="0" r="0" t="0"/>
            <wp:docPr descr="Fig. 4: Effective absorption cross section of PSII (σPSIIʹ; nm2 quanta−1) vs. Actinic PAR (µmol photons m−2s−1). σPSIIʹ was estimated using FRRf induction curves with excitations (Ex445nm; blue, Ex535nm; green, or Ex590nm; orange), for PC-rich (green circle) and PE-rich (red circle) cultures of Synechococcus sp. grown at spectral bandwidth of 450, 530, or 620 nm and O2 concentration of 250 µM (open symbols and dashed line) and 2.5 µM (closed symbols and solid line). The vertical line shows diel peak PAR growth light of 180 µmol photons m−2s−1. The shaded area (blue, green, or red) shows situations in which cultures were excited and growing in correspondence conditions." title="" id="47" name="Picture"/>
            <a:graphic>
              <a:graphicData uri="http://schemas.openxmlformats.org/drawingml/2006/picture">
                <pic:pic>
                  <pic:nvPicPr>
                    <pic:cNvPr descr="../Output/Figures/Fig_SigLRC.png" id="48" name="Picture"/>
                    <pic:cNvPicPr>
                      <a:picLocks noChangeArrowheads="1" noChangeAspect="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9" w:name="fig:SigLRC"/>
      <w:bookmarkEnd w:id="49"/>
      <w:r>
        <w:rPr>
          <w:bCs/>
          <w:b/>
        </w:rPr>
        <w:t xml:space="preserve">Fig.</w:t>
      </w:r>
      <w:r>
        <w:rPr>
          <w:bCs/>
          <w:b/>
        </w:rPr>
        <w:t xml:space="preserve"> </w:t>
      </w:r>
      <w:r>
        <w:t xml:space="preserve">4: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530, or 620 nm and O</w:t>
      </w:r>
      <w:r>
        <w:rPr>
          <w:vertAlign w:val="subscript"/>
        </w:rPr>
        <w:t xml:space="preserve">2</w:t>
      </w:r>
      <w:r>
        <w:t xml:space="preserve"> </w:t>
      </w:r>
      <w:r>
        <w:t xml:space="preserve">concentration of 250 µM (open symbols and dashed line) and 2.5 µM (closed symbols and solid line). The vertical line shows diel peak PAR growth light of 180 µmol photons m</w:t>
      </w:r>
      <w:r>
        <w:rPr>
          <w:vertAlign w:val="superscript"/>
        </w:rPr>
        <w:t xml:space="preserve">−2</w:t>
      </w:r>
      <w:r>
        <w:t xml:space="preserve">s</w:t>
      </w:r>
      <w:r>
        <w:rPr>
          <w:vertAlign w:val="superscript"/>
        </w:rPr>
        <w:t xml:space="preserve">−1</w:t>
      </w:r>
      <w:r>
        <w:t xml:space="preserve">. The shaded area (blue, green, or red) shows situations in which cultures were excited and growing in correspondence conditions.</w:t>
      </w:r>
    </w:p>
    <w:p>
      <w:pPr>
        <w:pStyle w:val="BodyText"/>
      </w:pPr>
    </w:p>
    <w:p>
      <w:pPr>
        <w:pStyle w:val="CaptionedFigure"/>
      </w:pPr>
      <w:r>
        <w:drawing>
          <wp:inline>
            <wp:extent cx="5504749" cy="5504749"/>
            <wp:effectExtent b="0" l="0" r="0" t="0"/>
            <wp:docPr descr="Fig. 5: Effective absorption cross section of PSII (σPSIIʹ; nm2 quanta−1) measured under diel peak PAR growth light vs. wavelength (nm). σPSIIʹ was estimated using FRRf induction curves with excitations (Ex445nm; blue, Ex535nm; green, or Ex590nm; orange), for PC-rich (green circle) and PE-rich (red circle) cultures of Synechococcus sp. grown at spectral bandwidth of 450, 530, or 620 nm and O2 concentration of 250 µM (open symbols and dashed line) and 2.5 µM (closed symbols and solid line)." title="" id="51" name="Picture"/>
            <a:graphic>
              <a:graphicData uri="http://schemas.openxmlformats.org/drawingml/2006/picture">
                <pic:pic>
                  <pic:nvPicPr>
                    <pic:cNvPr descr="../Output/Figures/Fig_SigWL.png" id="52" name="Picture"/>
                    <pic:cNvPicPr>
                      <a:picLocks noChangeArrowheads="1" noChangeAspect="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3" w:name="fig:SigWL"/>
      <w:bookmarkEnd w:id="53"/>
      <w:r>
        <w:rPr>
          <w:bCs/>
          <w:b/>
        </w:rPr>
        <w:t xml:space="preserve">Fig.</w:t>
      </w:r>
      <w:r>
        <w:rPr>
          <w:bCs/>
          <w:b/>
        </w:rPr>
        <w:t xml:space="preserve"> </w:t>
      </w:r>
      <w:r>
        <w:t xml:space="preserve">5: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wavelength (nm). σ</w:t>
      </w:r>
      <w:r>
        <w:rPr>
          <w:vertAlign w:val="subscript"/>
        </w:rPr>
        <w:t xml:space="preserve">PSII</w:t>
      </w:r>
      <w:r>
        <w:t xml:space="preserve">ʹ was estimated using FRRf induction curves with excitations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530, or 620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504749" cy="5504749"/>
            <wp:effectExtent b="0" l="0" r="0" t="0"/>
            <wp:docPr descr="Fig. 6: Effective absorption cross section of PSII (σPSIIʹ; nm2 quanta−1) measured under diel peak PAR growth light vs. the ratio of sum of µg Phycobiliprotein to µg Chl a.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55" name="Picture"/>
            <a:graphic>
              <a:graphicData uri="http://schemas.openxmlformats.org/drawingml/2006/picture">
                <pic:pic>
                  <pic:nvPicPr>
                    <pic:cNvPr descr="../Output/Figures/Fig_SigPig.png" id="56" name="Picture"/>
                    <pic:cNvPicPr>
                      <a:picLocks noChangeArrowheads="1" noChangeAspect="1"/>
                    </pic:cNvPicPr>
                  </pic:nvPicPr>
                  <pic:blipFill>
                    <a:blip r:embed="rId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7" w:name="fig:SigPig"/>
      <w:bookmarkEnd w:id="57"/>
      <w:r>
        <w:rPr>
          <w:bCs/>
          <w:b/>
        </w:rPr>
        <w:t xml:space="preserve">Fig.</w:t>
      </w:r>
      <w:r>
        <w:rPr>
          <w:bCs/>
          <w:b/>
        </w:rPr>
        <w:t xml:space="preserve"> </w:t>
      </w:r>
      <w:r>
        <w:t xml:space="preserve">6: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the ratio of sum of µg Phycobiliprotein to µg Chl</w:t>
      </w:r>
      <w:r>
        <w:t xml:space="preserve"> </w:t>
      </w:r>
      <w:r>
        <w:rPr>
          <w:iCs/>
          <w:i/>
        </w:rPr>
        <w:t xml:space="preserve">a</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bookmarkEnd w:id="58"/>
    <w:bookmarkStart w:id="63"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5504749"/>
            <wp:effectExtent b="0" l="0" r="0" t="0"/>
            <wp:docPr descr="Fig. 7: Chlorophyll-specific exponential growth rates (d−1) vs. PSII electron flux (JVPSII; µmol e− µmol Chl a−1 d−1) measured under diel peak PAR growth light. Growth rates (± SE falling within symbols) were estimated from logistic fits of chlorophyll proxy OD680 - OD720 (ΔOD) vs. elapsed time. JVPSII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60" name="Picture"/>
            <a:graphic>
              <a:graphicData uri="http://schemas.openxmlformats.org/drawingml/2006/picture">
                <pic:pic>
                  <pic:nvPicPr>
                    <pic:cNvPr descr="../Output/Figures/Fig_GrowthRate_JVPSII_Chla.png" id="61" name="Picture"/>
                    <pic:cNvPicPr>
                      <a:picLocks noChangeArrowheads="1" noChangeAspect="1"/>
                    </pic:cNvPicPr>
                  </pic:nvPicPr>
                  <pic:blipFill>
                    <a:blip r:embed="rId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62" w:name="fig:GrowthRateJVPSII"/>
      <w:bookmarkEnd w:id="62"/>
      <w:r>
        <w:rPr>
          <w:bCs/>
          <w:b/>
        </w:rPr>
        <w:t xml:space="preserve">Fig.</w:t>
      </w:r>
      <w:r>
        <w:rPr>
          <w:bCs/>
          <w:b/>
        </w:rPr>
        <w:t xml:space="preserve"> </w:t>
      </w:r>
      <w:r>
        <w:t xml:space="preserve">7: Chlorophyll-specific exponential growth rates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w:t>
      </w:r>
      <w:r>
        <w:t xml:space="preserve"> </w:t>
      </w:r>
      <w:r>
        <w:rPr>
          <w:iCs/>
          <w:i/>
        </w:rPr>
        <w:t xml:space="preserve">JV</w:t>
      </w:r>
      <w:r>
        <w:rPr>
          <w:vertAlign w:val="subscript"/>
        </w:rPr>
        <w:t xml:space="preserve">PSII</w:t>
      </w:r>
      <w:r>
        <w:t xml:space="preserve"> </w:t>
      </w:r>
      <w:r>
        <w:t xml:space="preserve">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63"/>
    <w:bookmarkEnd w:id="64"/>
    <w:bookmarkStart w:id="65" w:name="discussion"/>
    <w:p>
      <w:pPr>
        <w:pStyle w:val="Heading1"/>
      </w:pPr>
      <w:r>
        <w:t xml:space="preserve">Discussion</w:t>
      </w:r>
    </w:p>
    <w:p>
      <w:pPr>
        <w:pStyle w:val="FirstParagraph"/>
      </w:pPr>
    </w:p>
    <w:bookmarkEnd w:id="65"/>
    <w:bookmarkStart w:id="66"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6"/>
    <w:bookmarkStart w:id="70"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67">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68"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8"/>
    <w:bookmarkStart w:id="69" w:name="conflict-of-interest"/>
    <w:p>
      <w:pPr>
        <w:pStyle w:val="Heading2"/>
      </w:pPr>
      <w:r>
        <w:t xml:space="preserve">Conflict of Interest</w:t>
      </w:r>
    </w:p>
    <w:p>
      <w:pPr>
        <w:pStyle w:val="FirstParagraph"/>
      </w:pPr>
      <w:r>
        <w:t xml:space="preserve">None declared.</w:t>
      </w:r>
    </w:p>
    <w:p>
      <w:pPr>
        <w:pStyle w:val="BodyText"/>
      </w:pPr>
    </w:p>
    <w:bookmarkEnd w:id="69"/>
    <w:bookmarkEnd w:id="70"/>
    <w:bookmarkStart w:id="115" w:name="references"/>
    <w:p>
      <w:pPr>
        <w:pStyle w:val="Heading1"/>
      </w:pPr>
      <w:r>
        <w:t xml:space="preserve">References</w:t>
      </w:r>
    </w:p>
    <w:bookmarkStart w:id="114" w:name="refs"/>
    <w:bookmarkStart w:id="72"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1">
        <w:r>
          <w:rPr>
            <w:rStyle w:val="Hyperlink"/>
          </w:rPr>
          <w:t xml:space="preserve">10.1083/jcb.58.2.419</w:t>
        </w:r>
      </w:hyperlink>
      <w:r>
        <w:t xml:space="preserve">.</w:t>
      </w:r>
    </w:p>
    <w:bookmarkEnd w:id="72"/>
    <w:bookmarkStart w:id="73"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3"/>
    <w:bookmarkStart w:id="75"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4">
        <w:r>
          <w:rPr>
            <w:rStyle w:val="Hyperlink"/>
          </w:rPr>
          <w:t xml:space="preserve">10.3389/fmars.2019.00319</w:t>
        </w:r>
      </w:hyperlink>
      <w:r>
        <w:t xml:space="preserve">.</w:t>
      </w:r>
    </w:p>
    <w:bookmarkEnd w:id="75"/>
    <w:bookmarkStart w:id="77"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6">
        <w:r>
          <w:rPr>
            <w:rStyle w:val="Hyperlink"/>
          </w:rPr>
          <w:t xml:space="preserve">10.1126/science.aam7240</w:t>
        </w:r>
      </w:hyperlink>
      <w:r>
        <w:t xml:space="preserve">.</w:t>
      </w:r>
    </w:p>
    <w:bookmarkEnd w:id="77"/>
    <w:bookmarkStart w:id="78"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8"/>
    <w:bookmarkStart w:id="79"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9"/>
    <w:bookmarkStart w:id="81"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80">
        <w:r>
          <w:rPr>
            <w:rStyle w:val="Hyperlink"/>
          </w:rPr>
          <w:t xml:space="preserve">10.1073/pnas.1307701110</w:t>
        </w:r>
      </w:hyperlink>
      <w:r>
        <w:t xml:space="preserve">.</w:t>
      </w:r>
    </w:p>
    <w:bookmarkEnd w:id="81"/>
    <w:bookmarkStart w:id="83"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2">
        <w:r>
          <w:rPr>
            <w:rStyle w:val="Hyperlink"/>
          </w:rPr>
          <w:t xml:space="preserve">10.1007/978-1-4615-8714-9_3</w:t>
        </w:r>
      </w:hyperlink>
      <w:r>
        <w:t xml:space="preserve">.</w:t>
      </w:r>
    </w:p>
    <w:bookmarkEnd w:id="83"/>
    <w:bookmarkStart w:id="84"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4"/>
    <w:bookmarkStart w:id="86"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5">
        <w:r>
          <w:rPr>
            <w:rStyle w:val="Hyperlink"/>
          </w:rPr>
          <w:t xml:space="preserve">10.1016/j.jphotobiol.2005.10.002</w:t>
        </w:r>
      </w:hyperlink>
      <w:r>
        <w:t xml:space="preserve">.</w:t>
      </w:r>
    </w:p>
    <w:bookmarkEnd w:id="86"/>
    <w:bookmarkStart w:id="88"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87">
        <w:r>
          <w:rPr>
            <w:rStyle w:val="Hyperlink"/>
          </w:rPr>
          <w:t xml:space="preserve">10.1016/S0005-2728(98)00135-2</w:t>
        </w:r>
      </w:hyperlink>
      <w:r>
        <w:t xml:space="preserve">.</w:t>
      </w:r>
    </w:p>
    <w:bookmarkEnd w:id="88"/>
    <w:bookmarkStart w:id="9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89">
        <w:r>
          <w:rPr>
            <w:rStyle w:val="Hyperlink"/>
          </w:rPr>
          <w:t xml:space="preserve">10.1016/0146-6291(78)90623-9</w:t>
        </w:r>
      </w:hyperlink>
      <w:r>
        <w:t xml:space="preserve">.</w:t>
      </w:r>
    </w:p>
    <w:bookmarkEnd w:id="90"/>
    <w:bookmarkStart w:id="92"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1">
        <w:r>
          <w:rPr>
            <w:rStyle w:val="Hyperlink"/>
          </w:rPr>
          <w:t xml:space="preserve">10.1023/A:1005936823310</w:t>
        </w:r>
      </w:hyperlink>
      <w:r>
        <w:t xml:space="preserve">.</w:t>
      </w:r>
    </w:p>
    <w:bookmarkEnd w:id="92"/>
    <w:bookmarkStart w:id="94"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3">
        <w:r>
          <w:rPr>
            <w:rStyle w:val="Hyperlink"/>
          </w:rPr>
          <w:t xml:space="preserve">10.4319/lom.2012.10.142</w:t>
        </w:r>
      </w:hyperlink>
      <w:r>
        <w:t xml:space="preserve">.</w:t>
      </w:r>
    </w:p>
    <w:bookmarkEnd w:id="94"/>
    <w:bookmarkStart w:id="95"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5"/>
    <w:bookmarkStart w:id="97" w:name="ref-posit"/>
    <w:p>
      <w:pPr>
        <w:pStyle w:val="Bibliography"/>
      </w:pPr>
      <w:r>
        <w:t xml:space="preserve">Posit team. 2022. RStudio: Integrated development environment for r. Posit Software, PBC, Boston, MA. Available from</w:t>
      </w:r>
      <w:r>
        <w:t xml:space="preserve"> </w:t>
      </w:r>
      <w:hyperlink r:id="rId96">
        <w:r>
          <w:rPr>
            <w:rStyle w:val="Hyperlink"/>
          </w:rPr>
          <w:t xml:space="preserve">http://www.posit.co/</w:t>
        </w:r>
      </w:hyperlink>
      <w:r>
        <w:t xml:space="preserve">.</w:t>
      </w:r>
    </w:p>
    <w:bookmarkEnd w:id="97"/>
    <w:bookmarkStart w:id="99" w:name="ref-rcore"/>
    <w:p>
      <w:pPr>
        <w:pStyle w:val="Bibliography"/>
      </w:pPr>
      <w:r>
        <w:t xml:space="preserve">R Core Team. 2023. R: A language and environment for statistical computing. R Foundation for Statistical Computing, Vienna, Austria. Available from</w:t>
      </w:r>
      <w:r>
        <w:t xml:space="preserve"> </w:t>
      </w:r>
      <w:hyperlink r:id="rId98">
        <w:r>
          <w:rPr>
            <w:rStyle w:val="Hyperlink"/>
          </w:rPr>
          <w:t xml:space="preserve">https://www.R-project.org/</w:t>
        </w:r>
      </w:hyperlink>
      <w:r>
        <w:t xml:space="preserve">.</w:t>
      </w:r>
    </w:p>
    <w:bookmarkEnd w:id="99"/>
    <w:bookmarkStart w:id="10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0">
        <w:r>
          <w:rPr>
            <w:rStyle w:val="Hyperlink"/>
          </w:rPr>
          <w:t xml:space="preserve">DOI: http://dx.doi.org/10.25607/OBP-1791</w:t>
        </w:r>
      </w:hyperlink>
      <w:r>
        <w:t xml:space="preserve">.</w:t>
      </w:r>
    </w:p>
    <w:bookmarkEnd w:id="101"/>
    <w:bookmarkStart w:id="10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2">
        <w:r>
          <w:rPr>
            <w:rStyle w:val="Hyperlink"/>
          </w:rPr>
          <w:t xml:space="preserve">10.25607/OBP-1084</w:t>
        </w:r>
      </w:hyperlink>
      <w:r>
        <w:t xml:space="preserve">.</w:t>
      </w:r>
    </w:p>
    <w:bookmarkEnd w:id="103"/>
    <w:bookmarkStart w:id="10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04">
        <w:r>
          <w:rPr>
            <w:rStyle w:val="Hyperlink"/>
          </w:rPr>
          <w:t xml:space="preserve">10.1073/pnas.1205009109</w:t>
        </w:r>
      </w:hyperlink>
      <w:r>
        <w:t xml:space="preserve">.</w:t>
      </w:r>
    </w:p>
    <w:bookmarkEnd w:id="105"/>
    <w:bookmarkStart w:id="107"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06">
        <w:r>
          <w:rPr>
            <w:rStyle w:val="Hyperlink"/>
          </w:rPr>
          <w:t xml:space="preserve">10.1007/978-3-319-24277-4_9</w:t>
        </w:r>
      </w:hyperlink>
      <w:r>
        <w:t xml:space="preserve">.</w:t>
      </w:r>
    </w:p>
    <w:bookmarkEnd w:id="107"/>
    <w:bookmarkStart w:id="109"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08">
        <w:r>
          <w:rPr>
            <w:rStyle w:val="Hyperlink"/>
          </w:rPr>
          <w:t xml:space="preserve">10.1002/cyto.a.24508</w:t>
        </w:r>
      </w:hyperlink>
      <w:r>
        <w:t xml:space="preserve">.</w:t>
      </w:r>
    </w:p>
    <w:bookmarkEnd w:id="109"/>
    <w:bookmarkStart w:id="111"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0">
        <w:r>
          <w:rPr>
            <w:rStyle w:val="Hyperlink"/>
          </w:rPr>
          <w:t xml:space="preserve">10.1002/lno.12367</w:t>
        </w:r>
      </w:hyperlink>
      <w:r>
        <w:t xml:space="preserve">.</w:t>
      </w:r>
    </w:p>
    <w:bookmarkEnd w:id="111"/>
    <w:bookmarkStart w:id="113"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2">
        <w:r>
          <w:rPr>
            <w:rStyle w:val="Hyperlink"/>
          </w:rPr>
          <w:t xml:space="preserve">10.1016/j.bbabio.2017.03.003</w:t>
        </w:r>
      </w:hyperlink>
      <w:r>
        <w:t xml:space="preserve">.</w:t>
      </w:r>
    </w:p>
    <w:bookmarkEnd w:id="113"/>
    <w:bookmarkEnd w:id="114"/>
    <w:bookmarkEnd w:id="115"/>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hyperlink" Id="rId100" Target="DOI: http://dx.doi.org/10.25607/OBP-1791" TargetMode="External" /><Relationship Type="http://schemas.openxmlformats.org/officeDocument/2006/relationships/hyperlink" Id="rId9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7" Target="https://docs.google.com/spreadsheets/d/1ZXpwR7Gfto-uRzVdXzMpQF4frbrvMLH_IyLqonFZRSw/edit#gid=0" TargetMode="External" /><Relationship Type="http://schemas.openxmlformats.org/officeDocument/2006/relationships/hyperlink" Id="rId108" Target="https://doi.org/10.1002/cyto.a.24508" TargetMode="External" /><Relationship Type="http://schemas.openxmlformats.org/officeDocument/2006/relationships/hyperlink" Id="rId110" Target="https://doi.org/10.1002/lno.12367" TargetMode="External" /><Relationship Type="http://schemas.openxmlformats.org/officeDocument/2006/relationships/hyperlink" Id="rId82" Target="https://doi.org/10.1007/978-1-4615-8714-9_3" TargetMode="External" /><Relationship Type="http://schemas.openxmlformats.org/officeDocument/2006/relationships/hyperlink" Id="rId106" Target="https://doi.org/10.1007/978-3-319-24277-4_9" TargetMode="External" /><Relationship Type="http://schemas.openxmlformats.org/officeDocument/2006/relationships/hyperlink" Id="rId89" Target="https://doi.org/10.1016/0146-6291(78)90623-9" TargetMode="External" /><Relationship Type="http://schemas.openxmlformats.org/officeDocument/2006/relationships/hyperlink" Id="rId87" Target="https://doi.org/10.1016/S0005-2728(98)00135-2" TargetMode="External" /><Relationship Type="http://schemas.openxmlformats.org/officeDocument/2006/relationships/hyperlink" Id="rId112" Target="https://doi.org/10.1016/j.bbabio.2017.03.003" TargetMode="External" /><Relationship Type="http://schemas.openxmlformats.org/officeDocument/2006/relationships/hyperlink" Id="rId85" Target="https://doi.org/10.1016/j.jphotobiol.2005.10.002" TargetMode="External" /><Relationship Type="http://schemas.openxmlformats.org/officeDocument/2006/relationships/hyperlink" Id="rId91" Target="https://doi.org/10.1023/A:1005936823310" TargetMode="External" /><Relationship Type="http://schemas.openxmlformats.org/officeDocument/2006/relationships/hyperlink" Id="rId104" Target="https://doi.org/10.1073/pnas.1205009109" TargetMode="External" /><Relationship Type="http://schemas.openxmlformats.org/officeDocument/2006/relationships/hyperlink" Id="rId80" Target="https://doi.org/10.1073/pnas.1307701110" TargetMode="External" /><Relationship Type="http://schemas.openxmlformats.org/officeDocument/2006/relationships/hyperlink" Id="rId71" Target="https://doi.org/10.1083/jcb.58.2.419" TargetMode="External" /><Relationship Type="http://schemas.openxmlformats.org/officeDocument/2006/relationships/hyperlink" Id="rId76" Target="https://doi.org/10.1126/science.aam7240" TargetMode="External" /><Relationship Type="http://schemas.openxmlformats.org/officeDocument/2006/relationships/hyperlink" Id="rId102" Target="https://doi.org/10.25607/OBP-1084" TargetMode="External" /><Relationship Type="http://schemas.openxmlformats.org/officeDocument/2006/relationships/hyperlink" Id="rId74" Target="https://doi.org/10.3389/fmars.2019.00319" TargetMode="External" /><Relationship Type="http://schemas.openxmlformats.org/officeDocument/2006/relationships/hyperlink" Id="rId93"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8"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0" Target="DOI: http://dx.doi.org/10.25607/OBP-1791" TargetMode="External" /><Relationship Type="http://schemas.openxmlformats.org/officeDocument/2006/relationships/hyperlink" Id="rId9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7" Target="https://docs.google.com/spreadsheets/d/1ZXpwR7Gfto-uRzVdXzMpQF4frbrvMLH_IyLqonFZRSw/edit#gid=0" TargetMode="External" /><Relationship Type="http://schemas.openxmlformats.org/officeDocument/2006/relationships/hyperlink" Id="rId108" Target="https://doi.org/10.1002/cyto.a.24508" TargetMode="External" /><Relationship Type="http://schemas.openxmlformats.org/officeDocument/2006/relationships/hyperlink" Id="rId110" Target="https://doi.org/10.1002/lno.12367" TargetMode="External" /><Relationship Type="http://schemas.openxmlformats.org/officeDocument/2006/relationships/hyperlink" Id="rId82" Target="https://doi.org/10.1007/978-1-4615-8714-9_3" TargetMode="External" /><Relationship Type="http://schemas.openxmlformats.org/officeDocument/2006/relationships/hyperlink" Id="rId106" Target="https://doi.org/10.1007/978-3-319-24277-4_9" TargetMode="External" /><Relationship Type="http://schemas.openxmlformats.org/officeDocument/2006/relationships/hyperlink" Id="rId89" Target="https://doi.org/10.1016/0146-6291(78)90623-9" TargetMode="External" /><Relationship Type="http://schemas.openxmlformats.org/officeDocument/2006/relationships/hyperlink" Id="rId87" Target="https://doi.org/10.1016/S0005-2728(98)00135-2" TargetMode="External" /><Relationship Type="http://schemas.openxmlformats.org/officeDocument/2006/relationships/hyperlink" Id="rId112" Target="https://doi.org/10.1016/j.bbabio.2017.03.003" TargetMode="External" /><Relationship Type="http://schemas.openxmlformats.org/officeDocument/2006/relationships/hyperlink" Id="rId85" Target="https://doi.org/10.1016/j.jphotobiol.2005.10.002" TargetMode="External" /><Relationship Type="http://schemas.openxmlformats.org/officeDocument/2006/relationships/hyperlink" Id="rId91" Target="https://doi.org/10.1023/A:1005936823310" TargetMode="External" /><Relationship Type="http://schemas.openxmlformats.org/officeDocument/2006/relationships/hyperlink" Id="rId104" Target="https://doi.org/10.1073/pnas.1205009109" TargetMode="External" /><Relationship Type="http://schemas.openxmlformats.org/officeDocument/2006/relationships/hyperlink" Id="rId80" Target="https://doi.org/10.1073/pnas.1307701110" TargetMode="External" /><Relationship Type="http://schemas.openxmlformats.org/officeDocument/2006/relationships/hyperlink" Id="rId71" Target="https://doi.org/10.1083/jcb.58.2.419" TargetMode="External" /><Relationship Type="http://schemas.openxmlformats.org/officeDocument/2006/relationships/hyperlink" Id="rId76" Target="https://doi.org/10.1126/science.aam7240" TargetMode="External" /><Relationship Type="http://schemas.openxmlformats.org/officeDocument/2006/relationships/hyperlink" Id="rId102" Target="https://doi.org/10.25607/OBP-1084" TargetMode="External" /><Relationship Type="http://schemas.openxmlformats.org/officeDocument/2006/relationships/hyperlink" Id="rId74" Target="https://doi.org/10.3389/fmars.2019.00319" TargetMode="External" /><Relationship Type="http://schemas.openxmlformats.org/officeDocument/2006/relationships/hyperlink" Id="rId93"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8"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2024-06-13T13:29:08Z</dcterms:created>
  <dcterms:modified xsi:type="dcterms:W3CDTF">2024-06-13T13:29:08Z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